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ind w:left="708" w:hanging="708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LECTOR DE CODIGO DE BARRAS INALAMBRICO BC-28W =540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Colector de código de barras Inalámbrico, de buena calidad y precio muy competitivo.  Tienen una respuesta de lectura precisa y rápida con transmisión inalámbrica a largas distancias y almacenamiento sin conexión de alta capacidad.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Lector y decodificador de codigos de barras inalambrico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Lee y transmite desde 20 a 30 metros en ambientes interiores y desde 300 a 400m en campo abierto.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Bateria hasta 10 horas de trabajo continuo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Almacenamiento hasta 100 000 registros</w:t>
        <w:br w:type="textWrapping"/>
        <w:t xml:space="preserve">* Comandos de lectura, configuracion y descarga, se manejan con una tabla de codigos especiales 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Imprime tickets para uso comercial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Lector de Codigo de barras BC28W</w:t>
        <w:br w:type="textWrapping"/>
        <w:t xml:space="preserve">* Cable conector USB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 EL PAQUETE NO INCLUYE INTALACION ,CAPACITACION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5172.0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1251"/>
        <w:gridCol w:w="1363"/>
        <w:gridCol w:w="901"/>
        <w:gridCol w:w="1657"/>
        <w:tblGridChange w:id="0">
          <w:tblGrid>
            <w:gridCol w:w="1251"/>
            <w:gridCol w:w="1363"/>
            <w:gridCol w:w="901"/>
            <w:gridCol w:w="1657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BATERIA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Capacidad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100,000 Reg.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Carga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+2 hrs. 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Cod. de 0.1 mm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Desde 02 a 09 cm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Descarga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8 a 9 hrs. uso continuo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Cod. de 0.3 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Desde 03 a 40 cm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Ancho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5 - 30 cm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Tipo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 2.0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68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Red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TCP / IP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158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98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MEDIO 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ALIMENTACION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Temperatura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-10ºC - 60ºC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Suministrar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DC 5V - 5%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Humedad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0 - 95%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991100" cy="5667375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6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